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90D39" w14:textId="45A75294" w:rsidR="001C1329" w:rsidRDefault="002876EE" w:rsidP="00FA5BCE">
      <w:pPr>
        <w:spacing w:after="0"/>
        <w:jc w:val="right"/>
      </w:pPr>
      <w:r>
        <w:t>December 2, 2023</w:t>
      </w:r>
    </w:p>
    <w:p w14:paraId="11F0408A" w14:textId="77777777" w:rsidR="002876EE" w:rsidRDefault="002876EE" w:rsidP="00FA5BCE">
      <w:pPr>
        <w:spacing w:after="0"/>
      </w:pPr>
    </w:p>
    <w:p w14:paraId="237DA1F4" w14:textId="563F5199" w:rsidR="002876EE" w:rsidRDefault="002876EE" w:rsidP="00FA5BCE">
      <w:pPr>
        <w:spacing w:after="0"/>
      </w:pPr>
      <w:r>
        <w:t>To: LWV UMRR Board</w:t>
      </w:r>
    </w:p>
    <w:p w14:paraId="2D54D775" w14:textId="5A4DDE62" w:rsidR="002876EE" w:rsidRDefault="002876EE" w:rsidP="00FA5BCE">
      <w:pPr>
        <w:spacing w:after="0"/>
      </w:pPr>
      <w:r>
        <w:t>From: Gretchen Sabel, Communications Director, LWV UMRR</w:t>
      </w:r>
    </w:p>
    <w:p w14:paraId="0FFC798C" w14:textId="62297EA5" w:rsidR="002876EE" w:rsidRDefault="002876EE" w:rsidP="00FA5BCE">
      <w:pPr>
        <w:spacing w:after="0"/>
      </w:pPr>
      <w:r>
        <w:t>Regarding: Comment letter sent to US EPA for inclusion in Gulf Hypoxia Task Force meeting on Dec 6</w:t>
      </w:r>
      <w:r>
        <w:tab/>
      </w:r>
    </w:p>
    <w:p w14:paraId="473965E8" w14:textId="77777777" w:rsidR="002876EE" w:rsidRDefault="002876EE" w:rsidP="00FA5BCE">
      <w:pPr>
        <w:spacing w:after="0"/>
      </w:pPr>
    </w:p>
    <w:p w14:paraId="577E10E2" w14:textId="1D2EB2A3" w:rsidR="005211B9" w:rsidRDefault="002876EE">
      <w:r>
        <w:t xml:space="preserve">The Gulf Hypoxia Task Force meets annually.  This group includes </w:t>
      </w:r>
      <w:proofErr w:type="gramStart"/>
      <w:r>
        <w:t>a number of</w:t>
      </w:r>
      <w:proofErr w:type="gramEnd"/>
      <w:r>
        <w:t xml:space="preserve"> federal agencies and representatives from the 11 Mississippi River states (</w:t>
      </w:r>
      <w:hyperlink r:id="rId4" w:history="1">
        <w:r w:rsidRPr="008E3148">
          <w:rPr>
            <w:rStyle w:val="Hyperlink"/>
          </w:rPr>
          <w:t>https://www.epa.gov/ms-htf/task-force-members</w:t>
        </w:r>
      </w:hyperlink>
      <w:r>
        <w:t xml:space="preserve"> ).  The next meeting is on December 6, in Fayetteville, Arkansas.  Virtual attendance is also </w:t>
      </w:r>
      <w:proofErr w:type="gramStart"/>
      <w:r>
        <w:t>al</w:t>
      </w:r>
      <w:r w:rsidR="00851A7E">
        <w:t>lowed</w:t>
      </w:r>
      <w:proofErr w:type="gramEnd"/>
      <w:r w:rsidR="00851A7E">
        <w:t xml:space="preserve"> and I have registered to attend virtually. </w:t>
      </w:r>
      <w:r w:rsidR="005211B9">
        <w:t xml:space="preserve"> </w:t>
      </w:r>
      <w:r w:rsidR="00851A7E">
        <w:t xml:space="preserve">Public comment is allowed for in-person attendees; virtual attendees are allowed to submit </w:t>
      </w:r>
      <w:r w:rsidR="005211B9">
        <w:t xml:space="preserve">written comments.  These comments were due on November 27.  </w:t>
      </w:r>
    </w:p>
    <w:p w14:paraId="1D43840E" w14:textId="4D85EC7E" w:rsidR="005211B9" w:rsidRDefault="00FA5F5F">
      <w:r>
        <w:t xml:space="preserve">At the November 20 Action Committee meeting, I suggested that LWV UMRR submit written comments to the Gulf Hypoxia Task </w:t>
      </w:r>
      <w:proofErr w:type="gramStart"/>
      <w:r>
        <w:t>Force, and</w:t>
      </w:r>
      <w:proofErr w:type="gramEnd"/>
      <w:r>
        <w:t xml:space="preserve"> volunteered to write these comments.  The Action Committee approved me doing this.  </w:t>
      </w:r>
    </w:p>
    <w:p w14:paraId="6EB22B2D" w14:textId="3D86CE3C" w:rsidR="00FA5F5F" w:rsidRDefault="00FA5F5F">
      <w:r>
        <w:t xml:space="preserve">I developed comments based on </w:t>
      </w:r>
      <w:hyperlink r:id="rId5" w:history="1">
        <w:r w:rsidRPr="00EB5A85">
          <w:rPr>
            <w:rStyle w:val="Hyperlink"/>
          </w:rPr>
          <w:t xml:space="preserve">a paper that outlines </w:t>
        </w:r>
        <w:r w:rsidR="00EB5A85" w:rsidRPr="00EB5A85">
          <w:rPr>
            <w:rStyle w:val="Hyperlink"/>
          </w:rPr>
          <w:t>shortcomings in agricultural nonpoint source pollution control policy</w:t>
        </w:r>
      </w:hyperlink>
      <w:r w:rsidR="00EB5A85">
        <w:t xml:space="preserve">.  </w:t>
      </w:r>
      <w:r w:rsidR="002C31B7">
        <w:t xml:space="preserve"> </w:t>
      </w:r>
      <w:r w:rsidR="00EB5A85">
        <w:t xml:space="preserve">This paper, published in 2022, points out that more money that isn’t </w:t>
      </w:r>
      <w:r w:rsidR="00900C18">
        <w:t xml:space="preserve">targeted to the highest impact problems, whether the measures are voluntary or required, will not be effective or sufficient to bring about the needed reduction in nutrient loss.  </w:t>
      </w:r>
    </w:p>
    <w:p w14:paraId="5485EF8D" w14:textId="6C25A1AF" w:rsidR="00FA5BCE" w:rsidRPr="00FA5BCE" w:rsidRDefault="00A52D26" w:rsidP="00FA5BCE">
      <w:pPr>
        <w:rPr>
          <w:rFonts w:ascii="Arial" w:eastAsia="Times New Roman" w:hAnsi="Arial" w:cs="Arial"/>
          <w:color w:val="222222"/>
          <w:kern w:val="0"/>
          <w:sz w:val="20"/>
          <w:szCs w:val="20"/>
          <w14:ligatures w14:val="none"/>
        </w:rPr>
      </w:pPr>
      <w:r>
        <w:t xml:space="preserve">Following is the email I sent to US EPA for inclusion in the meeting packet for the December 6 meeting of the Gulf Hypoxia Task Force. </w:t>
      </w:r>
      <w:r w:rsidR="008C60D7">
        <w:t>This position is in accordance with LWV US positions on water and good government</w:t>
      </w:r>
      <w:r w:rsidR="00FA5BCE">
        <w:t xml:space="preserve">.   I completed the LWV UMRR Action Reporting form: </w:t>
      </w:r>
      <w:hyperlink r:id="rId6" w:tgtFrame="_blank" w:history="1">
        <w:r w:rsidR="00FA5BCE" w:rsidRPr="00FA5BCE">
          <w:rPr>
            <w:rFonts w:ascii="Arial" w:eastAsia="Times New Roman" w:hAnsi="Arial" w:cs="Arial"/>
            <w:color w:val="1155CC"/>
            <w:kern w:val="0"/>
            <w:sz w:val="20"/>
            <w:szCs w:val="20"/>
            <w:u w:val="single"/>
            <w14:ligatures w14:val="none"/>
          </w:rPr>
          <w:t>https://youtu.be/KNVQMarT-5c?si=2gNHw2qqG9aaGEqf</w:t>
        </w:r>
      </w:hyperlink>
    </w:p>
    <w:p w14:paraId="3FFE0A9B" w14:textId="77777777" w:rsidR="00FA5BCE" w:rsidRDefault="00FA5BCE" w:rsidP="002876EE">
      <w:pPr>
        <w:shd w:val="clear" w:color="auto" w:fill="FFFFFF"/>
        <w:spacing w:after="0" w:line="240" w:lineRule="auto"/>
        <w:rPr>
          <w:rFonts w:asciiTheme="majorHAnsi" w:eastAsia="Times New Roman" w:hAnsiTheme="majorHAnsi" w:cstheme="majorHAnsi"/>
          <w:color w:val="26282A"/>
          <w:kern w:val="0"/>
          <w:sz w:val="20"/>
          <w:szCs w:val="20"/>
          <w14:ligatures w14:val="none"/>
        </w:rPr>
      </w:pPr>
    </w:p>
    <w:p w14:paraId="1328EB0D" w14:textId="77777777" w:rsidR="00FA5BCE" w:rsidRDefault="00FA5BCE" w:rsidP="002876EE">
      <w:pPr>
        <w:shd w:val="clear" w:color="auto" w:fill="FFFFFF"/>
        <w:spacing w:after="0" w:line="240" w:lineRule="auto"/>
        <w:rPr>
          <w:rFonts w:asciiTheme="majorHAnsi" w:eastAsia="Times New Roman" w:hAnsiTheme="majorHAnsi" w:cstheme="majorHAnsi"/>
          <w:color w:val="26282A"/>
          <w:kern w:val="0"/>
          <w:sz w:val="20"/>
          <w:szCs w:val="20"/>
          <w14:ligatures w14:val="none"/>
        </w:rPr>
      </w:pPr>
    </w:p>
    <w:p w14:paraId="5C7B87F7" w14:textId="0FE9B09B" w:rsidR="002876EE" w:rsidRPr="002876EE" w:rsidRDefault="002876EE" w:rsidP="002876EE">
      <w:pPr>
        <w:shd w:val="clear" w:color="auto" w:fill="FFFFFF"/>
        <w:spacing w:after="0" w:line="240" w:lineRule="auto"/>
        <w:rPr>
          <w:rFonts w:asciiTheme="majorHAnsi" w:eastAsia="Times New Roman" w:hAnsiTheme="majorHAnsi" w:cstheme="majorHAnsi"/>
          <w:color w:val="26282A"/>
          <w:kern w:val="0"/>
          <w:sz w:val="20"/>
          <w:szCs w:val="20"/>
          <w14:ligatures w14:val="none"/>
        </w:rPr>
      </w:pPr>
      <w:r w:rsidRPr="002876EE">
        <w:rPr>
          <w:rFonts w:asciiTheme="majorHAnsi" w:eastAsia="Times New Roman" w:hAnsiTheme="majorHAnsi" w:cstheme="majorHAnsi"/>
          <w:color w:val="26282A"/>
          <w:kern w:val="0"/>
          <w:sz w:val="20"/>
          <w:szCs w:val="20"/>
          <w14:ligatures w14:val="none"/>
        </w:rPr>
        <w:t>----- Forwarded Message -----</w:t>
      </w:r>
    </w:p>
    <w:p w14:paraId="0A1BEAAC" w14:textId="77777777" w:rsidR="002876EE" w:rsidRPr="002876EE" w:rsidRDefault="002876EE" w:rsidP="002876EE">
      <w:pPr>
        <w:shd w:val="clear" w:color="auto" w:fill="FFFFFF"/>
        <w:spacing w:after="0" w:line="240" w:lineRule="auto"/>
        <w:rPr>
          <w:rFonts w:asciiTheme="majorHAnsi" w:eastAsia="Times New Roman" w:hAnsiTheme="majorHAnsi" w:cstheme="majorHAnsi"/>
          <w:color w:val="26282A"/>
          <w:kern w:val="0"/>
          <w:sz w:val="20"/>
          <w:szCs w:val="20"/>
          <w14:ligatures w14:val="none"/>
        </w:rPr>
      </w:pPr>
      <w:r w:rsidRPr="002876EE">
        <w:rPr>
          <w:rFonts w:asciiTheme="majorHAnsi" w:eastAsia="Times New Roman" w:hAnsiTheme="majorHAnsi" w:cstheme="majorHAnsi"/>
          <w:b/>
          <w:bCs/>
          <w:color w:val="26282A"/>
          <w:kern w:val="0"/>
          <w:sz w:val="20"/>
          <w:szCs w:val="20"/>
          <w14:ligatures w14:val="none"/>
        </w:rPr>
        <w:t>From:</w:t>
      </w:r>
      <w:r w:rsidRPr="002876EE">
        <w:rPr>
          <w:rFonts w:asciiTheme="majorHAnsi" w:eastAsia="Times New Roman" w:hAnsiTheme="majorHAnsi" w:cstheme="majorHAnsi"/>
          <w:color w:val="26282A"/>
          <w:kern w:val="0"/>
          <w:sz w:val="20"/>
          <w:szCs w:val="20"/>
          <w14:ligatures w14:val="none"/>
        </w:rPr>
        <w:t> Gretchen Sabel &lt;gpsabel@yahoo.com&gt;</w:t>
      </w:r>
    </w:p>
    <w:p w14:paraId="6C067716" w14:textId="77777777" w:rsidR="002876EE" w:rsidRPr="002876EE" w:rsidRDefault="002876EE" w:rsidP="002876EE">
      <w:pPr>
        <w:shd w:val="clear" w:color="auto" w:fill="FFFFFF"/>
        <w:spacing w:after="0" w:line="240" w:lineRule="auto"/>
        <w:rPr>
          <w:rFonts w:asciiTheme="majorHAnsi" w:eastAsia="Times New Roman" w:hAnsiTheme="majorHAnsi" w:cstheme="majorHAnsi"/>
          <w:color w:val="26282A"/>
          <w:kern w:val="0"/>
          <w:sz w:val="20"/>
          <w:szCs w:val="20"/>
          <w14:ligatures w14:val="none"/>
        </w:rPr>
      </w:pPr>
      <w:r w:rsidRPr="002876EE">
        <w:rPr>
          <w:rFonts w:asciiTheme="majorHAnsi" w:eastAsia="Times New Roman" w:hAnsiTheme="majorHAnsi" w:cstheme="majorHAnsi"/>
          <w:b/>
          <w:bCs/>
          <w:color w:val="26282A"/>
          <w:kern w:val="0"/>
          <w:sz w:val="20"/>
          <w:szCs w:val="20"/>
          <w14:ligatures w14:val="none"/>
        </w:rPr>
        <w:t>To:</w:t>
      </w:r>
      <w:r w:rsidRPr="002876EE">
        <w:rPr>
          <w:rFonts w:asciiTheme="majorHAnsi" w:eastAsia="Times New Roman" w:hAnsiTheme="majorHAnsi" w:cstheme="majorHAnsi"/>
          <w:color w:val="26282A"/>
          <w:kern w:val="0"/>
          <w:sz w:val="20"/>
          <w:szCs w:val="20"/>
          <w14:ligatures w14:val="none"/>
        </w:rPr>
        <w:t> Flahive Katie (she/her/hers) &lt;flahive.katie@epa.gov&gt;</w:t>
      </w:r>
    </w:p>
    <w:p w14:paraId="4F138672" w14:textId="77777777" w:rsidR="002876EE" w:rsidRPr="002876EE" w:rsidRDefault="002876EE" w:rsidP="002876EE">
      <w:pPr>
        <w:shd w:val="clear" w:color="auto" w:fill="FFFFFF"/>
        <w:spacing w:after="0" w:line="240" w:lineRule="auto"/>
        <w:rPr>
          <w:rFonts w:asciiTheme="majorHAnsi" w:eastAsia="Times New Roman" w:hAnsiTheme="majorHAnsi" w:cstheme="majorHAnsi"/>
          <w:color w:val="26282A"/>
          <w:kern w:val="0"/>
          <w:sz w:val="20"/>
          <w:szCs w:val="20"/>
          <w14:ligatures w14:val="none"/>
        </w:rPr>
      </w:pPr>
      <w:r w:rsidRPr="002876EE">
        <w:rPr>
          <w:rFonts w:asciiTheme="majorHAnsi" w:eastAsia="Times New Roman" w:hAnsiTheme="majorHAnsi" w:cstheme="majorHAnsi"/>
          <w:b/>
          <w:bCs/>
          <w:color w:val="26282A"/>
          <w:kern w:val="0"/>
          <w:sz w:val="20"/>
          <w:szCs w:val="20"/>
          <w14:ligatures w14:val="none"/>
        </w:rPr>
        <w:t>Sent:</w:t>
      </w:r>
      <w:r w:rsidRPr="002876EE">
        <w:rPr>
          <w:rFonts w:asciiTheme="majorHAnsi" w:eastAsia="Times New Roman" w:hAnsiTheme="majorHAnsi" w:cstheme="majorHAnsi"/>
          <w:color w:val="26282A"/>
          <w:kern w:val="0"/>
          <w:sz w:val="20"/>
          <w:szCs w:val="20"/>
          <w14:ligatures w14:val="none"/>
        </w:rPr>
        <w:t xml:space="preserve"> Monday, November 27, </w:t>
      </w:r>
      <w:proofErr w:type="gramStart"/>
      <w:r w:rsidRPr="002876EE">
        <w:rPr>
          <w:rFonts w:asciiTheme="majorHAnsi" w:eastAsia="Times New Roman" w:hAnsiTheme="majorHAnsi" w:cstheme="majorHAnsi"/>
          <w:color w:val="26282A"/>
          <w:kern w:val="0"/>
          <w:sz w:val="20"/>
          <w:szCs w:val="20"/>
          <w14:ligatures w14:val="none"/>
        </w:rPr>
        <w:t>2023</w:t>
      </w:r>
      <w:proofErr w:type="gramEnd"/>
      <w:r w:rsidRPr="002876EE">
        <w:rPr>
          <w:rFonts w:asciiTheme="majorHAnsi" w:eastAsia="Times New Roman" w:hAnsiTheme="majorHAnsi" w:cstheme="majorHAnsi"/>
          <w:color w:val="26282A"/>
          <w:kern w:val="0"/>
          <w:sz w:val="20"/>
          <w:szCs w:val="20"/>
          <w14:ligatures w14:val="none"/>
        </w:rPr>
        <w:t xml:space="preserve"> at 03:43:15 PM CST</w:t>
      </w:r>
    </w:p>
    <w:p w14:paraId="3B199C34" w14:textId="77777777" w:rsidR="002876EE" w:rsidRPr="002876EE" w:rsidRDefault="002876EE" w:rsidP="002876EE">
      <w:pPr>
        <w:shd w:val="clear" w:color="auto" w:fill="FFFFFF"/>
        <w:spacing w:after="0" w:line="240" w:lineRule="auto"/>
        <w:rPr>
          <w:rFonts w:asciiTheme="majorHAnsi" w:eastAsia="Times New Roman" w:hAnsiTheme="majorHAnsi" w:cstheme="majorHAnsi"/>
          <w:color w:val="26282A"/>
          <w:kern w:val="0"/>
          <w:sz w:val="20"/>
          <w:szCs w:val="20"/>
          <w14:ligatures w14:val="none"/>
        </w:rPr>
      </w:pPr>
      <w:r w:rsidRPr="002876EE">
        <w:rPr>
          <w:rFonts w:asciiTheme="majorHAnsi" w:eastAsia="Times New Roman" w:hAnsiTheme="majorHAnsi" w:cstheme="majorHAnsi"/>
          <w:b/>
          <w:bCs/>
          <w:color w:val="26282A"/>
          <w:kern w:val="0"/>
          <w:sz w:val="20"/>
          <w:szCs w:val="20"/>
          <w14:ligatures w14:val="none"/>
        </w:rPr>
        <w:t>Subject:</w:t>
      </w:r>
      <w:r w:rsidRPr="002876EE">
        <w:rPr>
          <w:rFonts w:asciiTheme="majorHAnsi" w:eastAsia="Times New Roman" w:hAnsiTheme="majorHAnsi" w:cstheme="majorHAnsi"/>
          <w:color w:val="26282A"/>
          <w:kern w:val="0"/>
          <w:sz w:val="20"/>
          <w:szCs w:val="20"/>
          <w14:ligatures w14:val="none"/>
        </w:rPr>
        <w:t> Comments to the Gulf Hypoxia Task Force for consideration at the December 6 meeting</w:t>
      </w:r>
    </w:p>
    <w:p w14:paraId="608A5A18" w14:textId="77777777" w:rsidR="002876EE" w:rsidRPr="002876EE" w:rsidRDefault="002876EE" w:rsidP="002876EE">
      <w:pPr>
        <w:shd w:val="clear" w:color="auto" w:fill="FFFFFF"/>
        <w:spacing w:after="0" w:line="240" w:lineRule="auto"/>
        <w:rPr>
          <w:rFonts w:asciiTheme="majorHAnsi" w:eastAsia="Times New Roman" w:hAnsiTheme="majorHAnsi" w:cstheme="majorHAnsi"/>
          <w:color w:val="26282A"/>
          <w:kern w:val="0"/>
          <w:sz w:val="20"/>
          <w:szCs w:val="20"/>
          <w14:ligatures w14:val="none"/>
        </w:rPr>
      </w:pPr>
    </w:p>
    <w:p w14:paraId="7AEEB307" w14:textId="73632686" w:rsidR="002876EE" w:rsidRPr="002876EE" w:rsidRDefault="002876EE" w:rsidP="002876EE">
      <w:pPr>
        <w:shd w:val="clear" w:color="auto" w:fill="FFFFFF"/>
        <w:spacing w:after="0" w:line="240" w:lineRule="auto"/>
        <w:textAlignment w:val="baseline"/>
        <w:rPr>
          <w:rFonts w:asciiTheme="majorHAnsi" w:eastAsia="Times New Roman" w:hAnsiTheme="majorHAnsi" w:cstheme="majorHAnsi"/>
          <w:color w:val="26282A"/>
          <w:kern w:val="0"/>
          <w:sz w:val="20"/>
          <w:szCs w:val="20"/>
          <w14:ligatures w14:val="none"/>
        </w:rPr>
      </w:pPr>
      <w:r w:rsidRPr="002876EE">
        <w:rPr>
          <w:rFonts w:asciiTheme="majorHAnsi" w:eastAsia="Times New Roman" w:hAnsiTheme="majorHAnsi" w:cstheme="majorHAnsi"/>
          <w:color w:val="26282A"/>
          <w:kern w:val="0"/>
          <w:sz w:val="20"/>
          <w:szCs w:val="20"/>
          <w14:ligatures w14:val="none"/>
        </w:rPr>
        <w:t xml:space="preserve">The League of Women Voters Upper Mississippi River Region is a multi-state organization (Minnesota, Wisconsin, Iowa, </w:t>
      </w:r>
      <w:proofErr w:type="gramStart"/>
      <w:r w:rsidRPr="002876EE">
        <w:rPr>
          <w:rFonts w:asciiTheme="majorHAnsi" w:eastAsia="Times New Roman" w:hAnsiTheme="majorHAnsi" w:cstheme="majorHAnsi"/>
          <w:color w:val="26282A"/>
          <w:kern w:val="0"/>
          <w:sz w:val="20"/>
          <w:szCs w:val="20"/>
          <w14:ligatures w14:val="none"/>
        </w:rPr>
        <w:t>Illinois</w:t>
      </w:r>
      <w:proofErr w:type="gramEnd"/>
      <w:r w:rsidRPr="002876EE">
        <w:rPr>
          <w:rFonts w:asciiTheme="majorHAnsi" w:eastAsia="Times New Roman" w:hAnsiTheme="majorHAnsi" w:cstheme="majorHAnsi"/>
          <w:color w:val="26282A"/>
          <w:kern w:val="0"/>
          <w:sz w:val="20"/>
          <w:szCs w:val="20"/>
          <w14:ligatures w14:val="none"/>
        </w:rPr>
        <w:t xml:space="preserve"> and Missouri), joining local LWV Leagues across five states to advocate for the Mississippi River.  We do this through educational webinars on key issues in the basin, and leading LWV advocacy on the federal Farm Bill. </w:t>
      </w:r>
      <w:r w:rsidRPr="002876EE">
        <w:rPr>
          <w:rFonts w:asciiTheme="majorHAnsi" w:eastAsia="Times New Roman" w:hAnsiTheme="majorHAnsi" w:cstheme="majorHAnsi"/>
          <w:color w:val="26282A"/>
          <w:kern w:val="0"/>
          <w:sz w:val="20"/>
          <w:szCs w:val="20"/>
          <w14:ligatures w14:val="none"/>
        </w:rPr>
        <w:br/>
      </w:r>
    </w:p>
    <w:p w14:paraId="32571099" w14:textId="77777777" w:rsidR="002876EE" w:rsidRPr="002876EE" w:rsidRDefault="002876EE" w:rsidP="002876EE">
      <w:pPr>
        <w:shd w:val="clear" w:color="auto" w:fill="FFFFFF"/>
        <w:spacing w:after="0" w:line="240" w:lineRule="auto"/>
        <w:textAlignment w:val="baseline"/>
        <w:rPr>
          <w:rFonts w:asciiTheme="majorHAnsi" w:eastAsia="Times New Roman" w:hAnsiTheme="majorHAnsi" w:cstheme="majorHAnsi"/>
          <w:color w:val="26282A"/>
          <w:kern w:val="0"/>
          <w:sz w:val="20"/>
          <w:szCs w:val="20"/>
          <w14:ligatures w14:val="none"/>
        </w:rPr>
      </w:pPr>
      <w:r w:rsidRPr="002876EE">
        <w:rPr>
          <w:rFonts w:asciiTheme="majorHAnsi" w:eastAsia="Times New Roman" w:hAnsiTheme="majorHAnsi" w:cstheme="majorHAnsi"/>
          <w:color w:val="26282A"/>
          <w:kern w:val="0"/>
          <w:sz w:val="20"/>
          <w:szCs w:val="20"/>
          <w14:ligatures w14:val="none"/>
        </w:rPr>
        <w:t xml:space="preserve">At the </w:t>
      </w:r>
      <w:proofErr w:type="gramStart"/>
      <w:r w:rsidRPr="002876EE">
        <w:rPr>
          <w:rFonts w:asciiTheme="majorHAnsi" w:eastAsia="Times New Roman" w:hAnsiTheme="majorHAnsi" w:cstheme="majorHAnsi"/>
          <w:color w:val="26282A"/>
          <w:kern w:val="0"/>
          <w:sz w:val="20"/>
          <w:szCs w:val="20"/>
          <w14:ligatures w14:val="none"/>
        </w:rPr>
        <w:t>ten year</w:t>
      </w:r>
      <w:proofErr w:type="gramEnd"/>
      <w:r w:rsidRPr="002876EE">
        <w:rPr>
          <w:rFonts w:asciiTheme="majorHAnsi" w:eastAsia="Times New Roman" w:hAnsiTheme="majorHAnsi" w:cstheme="majorHAnsi"/>
          <w:color w:val="26282A"/>
          <w:kern w:val="0"/>
          <w:sz w:val="20"/>
          <w:szCs w:val="20"/>
          <w14:ligatures w14:val="none"/>
        </w:rPr>
        <w:t xml:space="preserve"> point, it seems that the approach that states have been following for nutrient reduction is not as effective as it could be.  Change is needed because the current policies and programs are not bringing about the reductions needed.  The current system relies on voluntary involvement and tallies installed practices rather than measured </w:t>
      </w:r>
      <w:proofErr w:type="gramStart"/>
      <w:r w:rsidRPr="002876EE">
        <w:rPr>
          <w:rFonts w:asciiTheme="majorHAnsi" w:eastAsia="Times New Roman" w:hAnsiTheme="majorHAnsi" w:cstheme="majorHAnsi"/>
          <w:color w:val="26282A"/>
          <w:kern w:val="0"/>
          <w:sz w:val="20"/>
          <w:szCs w:val="20"/>
          <w14:ligatures w14:val="none"/>
        </w:rPr>
        <w:t>outcomes, and</w:t>
      </w:r>
      <w:proofErr w:type="gramEnd"/>
      <w:r w:rsidRPr="002876EE">
        <w:rPr>
          <w:rFonts w:asciiTheme="majorHAnsi" w:eastAsia="Times New Roman" w:hAnsiTheme="majorHAnsi" w:cstheme="majorHAnsi"/>
          <w:color w:val="26282A"/>
          <w:kern w:val="0"/>
          <w:sz w:val="20"/>
          <w:szCs w:val="20"/>
          <w14:ligatures w14:val="none"/>
        </w:rPr>
        <w:t xml:space="preserve"> incentivizes producers to install practices they are willing to do rather than more difficult practices that would lead to quantifiable NPS load reductions.  The success of technical service providers is measured in terms of BMPs installed, not targeted BMPs installed or actual reductions in nutrient loading. </w:t>
      </w:r>
    </w:p>
    <w:p w14:paraId="51249D90" w14:textId="77777777" w:rsidR="002876EE" w:rsidRPr="002876EE" w:rsidRDefault="002876EE" w:rsidP="002876EE">
      <w:pPr>
        <w:shd w:val="clear" w:color="auto" w:fill="FFFFFF"/>
        <w:spacing w:after="0" w:line="240" w:lineRule="auto"/>
        <w:textAlignment w:val="baseline"/>
        <w:rPr>
          <w:rFonts w:asciiTheme="majorHAnsi" w:eastAsia="Times New Roman" w:hAnsiTheme="majorHAnsi" w:cstheme="majorHAnsi"/>
          <w:color w:val="26282A"/>
          <w:kern w:val="0"/>
          <w:sz w:val="20"/>
          <w:szCs w:val="20"/>
          <w14:ligatures w14:val="none"/>
        </w:rPr>
      </w:pPr>
      <w:r w:rsidRPr="002876EE">
        <w:rPr>
          <w:rFonts w:asciiTheme="majorHAnsi" w:eastAsia="Times New Roman" w:hAnsiTheme="majorHAnsi" w:cstheme="majorHAnsi"/>
          <w:color w:val="26282A"/>
          <w:kern w:val="0"/>
          <w:sz w:val="20"/>
          <w:szCs w:val="20"/>
          <w14:ligatures w14:val="none"/>
        </w:rPr>
        <w:t> </w:t>
      </w:r>
    </w:p>
    <w:p w14:paraId="04BD914E" w14:textId="77777777" w:rsidR="002876EE" w:rsidRPr="002876EE" w:rsidRDefault="002876EE" w:rsidP="002876EE">
      <w:pPr>
        <w:shd w:val="clear" w:color="auto" w:fill="FFFFFF"/>
        <w:spacing w:after="0" w:line="240" w:lineRule="auto"/>
        <w:textAlignment w:val="baseline"/>
        <w:rPr>
          <w:rFonts w:asciiTheme="majorHAnsi" w:eastAsia="Times New Roman" w:hAnsiTheme="majorHAnsi" w:cstheme="majorHAnsi"/>
          <w:color w:val="26282A"/>
          <w:kern w:val="0"/>
          <w:sz w:val="20"/>
          <w:szCs w:val="20"/>
          <w14:ligatures w14:val="none"/>
        </w:rPr>
      </w:pPr>
      <w:r w:rsidRPr="002876EE">
        <w:rPr>
          <w:rFonts w:asciiTheme="majorHAnsi" w:eastAsia="Times New Roman" w:hAnsiTheme="majorHAnsi" w:cstheme="majorHAnsi"/>
          <w:color w:val="26282A"/>
          <w:kern w:val="0"/>
          <w:sz w:val="20"/>
          <w:szCs w:val="20"/>
          <w14:ligatures w14:val="none"/>
        </w:rPr>
        <w:lastRenderedPageBreak/>
        <w:t xml:space="preserve">Policy reform is </w:t>
      </w:r>
      <w:proofErr w:type="gramStart"/>
      <w:r w:rsidRPr="002876EE">
        <w:rPr>
          <w:rFonts w:asciiTheme="majorHAnsi" w:eastAsia="Times New Roman" w:hAnsiTheme="majorHAnsi" w:cstheme="majorHAnsi"/>
          <w:color w:val="26282A"/>
          <w:kern w:val="0"/>
          <w:sz w:val="20"/>
          <w:szCs w:val="20"/>
          <w14:ligatures w14:val="none"/>
        </w:rPr>
        <w:t>needed</w:t>
      </w:r>
      <w:proofErr w:type="gramEnd"/>
      <w:r w:rsidRPr="002876EE">
        <w:rPr>
          <w:rFonts w:asciiTheme="majorHAnsi" w:eastAsia="Times New Roman" w:hAnsiTheme="majorHAnsi" w:cstheme="majorHAnsi"/>
          <w:color w:val="26282A"/>
          <w:kern w:val="0"/>
          <w:sz w:val="20"/>
          <w:szCs w:val="20"/>
          <w14:ligatures w14:val="none"/>
        </w:rPr>
        <w:t xml:space="preserve"> and the Hypoxia Task Force could lead that reform.  Funding is still a critical necessity, but the focus needs to shift from practices to “outcome-based” programs so that both producers and service providers are motivated to seek out and implement those practices that result in the largest nonpoint source reductions.  This will require </w:t>
      </w:r>
      <w:proofErr w:type="gramStart"/>
      <w:r w:rsidRPr="002876EE">
        <w:rPr>
          <w:rFonts w:asciiTheme="majorHAnsi" w:eastAsia="Times New Roman" w:hAnsiTheme="majorHAnsi" w:cstheme="majorHAnsi"/>
          <w:color w:val="26282A"/>
          <w:kern w:val="0"/>
          <w:sz w:val="20"/>
          <w:szCs w:val="20"/>
          <w14:ligatures w14:val="none"/>
        </w:rPr>
        <w:t>change</w:t>
      </w:r>
      <w:proofErr w:type="gramEnd"/>
      <w:r w:rsidRPr="002876EE">
        <w:rPr>
          <w:rFonts w:asciiTheme="majorHAnsi" w:eastAsia="Times New Roman" w:hAnsiTheme="majorHAnsi" w:cstheme="majorHAnsi"/>
          <w:color w:val="26282A"/>
          <w:kern w:val="0"/>
          <w:sz w:val="20"/>
          <w:szCs w:val="20"/>
          <w14:ligatures w14:val="none"/>
        </w:rPr>
        <w:t xml:space="preserve"> to familiar program and reward systems that will be hard to implement.  And we will need to take steps toward mandatory measures in critical areas where willing partners are not able to get the job done.</w:t>
      </w:r>
    </w:p>
    <w:p w14:paraId="777C17B4" w14:textId="77777777" w:rsidR="002876EE" w:rsidRPr="002876EE" w:rsidRDefault="002876EE" w:rsidP="002876EE">
      <w:pPr>
        <w:shd w:val="clear" w:color="auto" w:fill="FFFFFF"/>
        <w:spacing w:after="0" w:line="240" w:lineRule="auto"/>
        <w:textAlignment w:val="baseline"/>
        <w:rPr>
          <w:rFonts w:asciiTheme="majorHAnsi" w:eastAsia="Times New Roman" w:hAnsiTheme="majorHAnsi" w:cstheme="majorHAnsi"/>
          <w:color w:val="26282A"/>
          <w:kern w:val="0"/>
          <w:sz w:val="20"/>
          <w:szCs w:val="20"/>
          <w14:ligatures w14:val="none"/>
        </w:rPr>
      </w:pPr>
      <w:r w:rsidRPr="002876EE">
        <w:rPr>
          <w:rFonts w:asciiTheme="majorHAnsi" w:eastAsia="Times New Roman" w:hAnsiTheme="majorHAnsi" w:cstheme="majorHAnsi"/>
          <w:color w:val="26282A"/>
          <w:kern w:val="0"/>
          <w:sz w:val="20"/>
          <w:szCs w:val="20"/>
          <w14:ligatures w14:val="none"/>
        </w:rPr>
        <w:t> </w:t>
      </w:r>
    </w:p>
    <w:p w14:paraId="6EA64155" w14:textId="77777777" w:rsidR="002876EE" w:rsidRPr="002876EE" w:rsidRDefault="002876EE" w:rsidP="002876EE">
      <w:pPr>
        <w:shd w:val="clear" w:color="auto" w:fill="FFFFFF"/>
        <w:spacing w:after="0" w:line="240" w:lineRule="auto"/>
        <w:textAlignment w:val="baseline"/>
        <w:rPr>
          <w:rFonts w:asciiTheme="majorHAnsi" w:eastAsia="Times New Roman" w:hAnsiTheme="majorHAnsi" w:cstheme="majorHAnsi"/>
          <w:color w:val="26282A"/>
          <w:kern w:val="0"/>
          <w:sz w:val="20"/>
          <w:szCs w:val="20"/>
          <w14:ligatures w14:val="none"/>
        </w:rPr>
      </w:pPr>
      <w:r w:rsidRPr="002876EE">
        <w:rPr>
          <w:rFonts w:asciiTheme="majorHAnsi" w:eastAsia="Times New Roman" w:hAnsiTheme="majorHAnsi" w:cstheme="majorHAnsi"/>
          <w:color w:val="26282A"/>
          <w:kern w:val="0"/>
          <w:sz w:val="20"/>
          <w:szCs w:val="20"/>
          <w14:ligatures w14:val="none"/>
        </w:rPr>
        <w:t>A shift toward outcome-based program design is the necessary end goal of this work – we must work to reduce nutrient loss and demonstrate effectiveness of targeting practices that results in better water quality. </w:t>
      </w:r>
    </w:p>
    <w:p w14:paraId="7B255E46" w14:textId="77777777" w:rsidR="002876EE" w:rsidRPr="002876EE" w:rsidRDefault="002876EE" w:rsidP="002876EE">
      <w:pPr>
        <w:shd w:val="clear" w:color="auto" w:fill="FFFFFF"/>
        <w:spacing w:after="0" w:line="240" w:lineRule="auto"/>
        <w:textAlignment w:val="baseline"/>
        <w:rPr>
          <w:rFonts w:asciiTheme="majorHAnsi" w:eastAsia="Times New Roman" w:hAnsiTheme="majorHAnsi" w:cstheme="majorHAnsi"/>
          <w:color w:val="26282A"/>
          <w:kern w:val="0"/>
          <w:sz w:val="20"/>
          <w:szCs w:val="20"/>
          <w14:ligatures w14:val="none"/>
        </w:rPr>
      </w:pPr>
      <w:r w:rsidRPr="002876EE">
        <w:rPr>
          <w:rFonts w:asciiTheme="majorHAnsi" w:eastAsia="Times New Roman" w:hAnsiTheme="majorHAnsi" w:cstheme="majorHAnsi"/>
          <w:color w:val="26282A"/>
          <w:kern w:val="0"/>
          <w:sz w:val="20"/>
          <w:szCs w:val="20"/>
          <w14:ligatures w14:val="none"/>
        </w:rPr>
        <w:t> </w:t>
      </w:r>
    </w:p>
    <w:p w14:paraId="639EA222" w14:textId="77777777" w:rsidR="002876EE" w:rsidRPr="002876EE" w:rsidRDefault="002876EE" w:rsidP="002876EE">
      <w:pPr>
        <w:shd w:val="clear" w:color="auto" w:fill="FFFFFF"/>
        <w:spacing w:after="0" w:line="240" w:lineRule="auto"/>
        <w:textAlignment w:val="baseline"/>
        <w:rPr>
          <w:rFonts w:asciiTheme="majorHAnsi" w:eastAsia="Times New Roman" w:hAnsiTheme="majorHAnsi" w:cstheme="majorHAnsi"/>
          <w:color w:val="26282A"/>
          <w:kern w:val="0"/>
          <w:sz w:val="20"/>
          <w:szCs w:val="20"/>
          <w14:ligatures w14:val="none"/>
        </w:rPr>
      </w:pPr>
      <w:r w:rsidRPr="002876EE">
        <w:rPr>
          <w:rFonts w:asciiTheme="majorHAnsi" w:eastAsia="Times New Roman" w:hAnsiTheme="majorHAnsi" w:cstheme="majorHAnsi"/>
          <w:color w:val="26282A"/>
          <w:kern w:val="0"/>
          <w:sz w:val="20"/>
          <w:szCs w:val="20"/>
          <w14:ligatures w14:val="none"/>
        </w:rPr>
        <w:t>Thank you for this opportunity to speak. </w:t>
      </w:r>
    </w:p>
    <w:p w14:paraId="57BED22F" w14:textId="77777777" w:rsidR="002876EE" w:rsidRPr="002876EE" w:rsidRDefault="002876EE" w:rsidP="002876EE">
      <w:pPr>
        <w:shd w:val="clear" w:color="auto" w:fill="FFFFFF"/>
        <w:spacing w:after="0" w:line="240" w:lineRule="auto"/>
        <w:textAlignment w:val="baseline"/>
        <w:rPr>
          <w:rFonts w:asciiTheme="majorHAnsi" w:eastAsia="Times New Roman" w:hAnsiTheme="majorHAnsi" w:cstheme="majorHAnsi"/>
          <w:color w:val="26282A"/>
          <w:kern w:val="0"/>
          <w:sz w:val="20"/>
          <w:szCs w:val="20"/>
          <w14:ligatures w14:val="none"/>
        </w:rPr>
      </w:pPr>
      <w:r w:rsidRPr="002876EE">
        <w:rPr>
          <w:rFonts w:asciiTheme="majorHAnsi" w:eastAsia="Times New Roman" w:hAnsiTheme="majorHAnsi" w:cstheme="majorHAnsi"/>
          <w:color w:val="26282A"/>
          <w:kern w:val="0"/>
          <w:sz w:val="20"/>
          <w:szCs w:val="20"/>
          <w14:ligatures w14:val="none"/>
        </w:rPr>
        <w:t> </w:t>
      </w:r>
    </w:p>
    <w:p w14:paraId="4E923B20" w14:textId="77777777" w:rsidR="002876EE" w:rsidRPr="002876EE" w:rsidRDefault="002876EE" w:rsidP="002876EE">
      <w:pPr>
        <w:shd w:val="clear" w:color="auto" w:fill="FFFFFF"/>
        <w:spacing w:after="0" w:line="240" w:lineRule="auto"/>
        <w:textAlignment w:val="baseline"/>
        <w:rPr>
          <w:rFonts w:asciiTheme="majorHAnsi" w:eastAsia="Times New Roman" w:hAnsiTheme="majorHAnsi" w:cstheme="majorHAnsi"/>
          <w:color w:val="26282A"/>
          <w:kern w:val="0"/>
          <w:sz w:val="20"/>
          <w:szCs w:val="20"/>
          <w14:ligatures w14:val="none"/>
        </w:rPr>
      </w:pPr>
      <w:r w:rsidRPr="002876EE">
        <w:rPr>
          <w:rFonts w:asciiTheme="majorHAnsi" w:eastAsia="Times New Roman" w:hAnsiTheme="majorHAnsi" w:cstheme="majorHAnsi"/>
          <w:color w:val="26282A"/>
          <w:kern w:val="0"/>
          <w:sz w:val="20"/>
          <w:szCs w:val="20"/>
          <w14:ligatures w14:val="none"/>
        </w:rPr>
        <w:t>Gretchen Sabel, Communications Director</w:t>
      </w:r>
    </w:p>
    <w:p w14:paraId="5AF32399" w14:textId="77777777" w:rsidR="002876EE" w:rsidRPr="002876EE" w:rsidRDefault="002876EE" w:rsidP="002876EE">
      <w:pPr>
        <w:shd w:val="clear" w:color="auto" w:fill="FFFFFF"/>
        <w:spacing w:after="0" w:line="240" w:lineRule="auto"/>
        <w:textAlignment w:val="baseline"/>
        <w:rPr>
          <w:rFonts w:asciiTheme="majorHAnsi" w:eastAsia="Times New Roman" w:hAnsiTheme="majorHAnsi" w:cstheme="majorHAnsi"/>
          <w:color w:val="26282A"/>
          <w:kern w:val="0"/>
          <w:sz w:val="20"/>
          <w:szCs w:val="20"/>
          <w14:ligatures w14:val="none"/>
        </w:rPr>
      </w:pPr>
      <w:r w:rsidRPr="002876EE">
        <w:rPr>
          <w:rFonts w:asciiTheme="majorHAnsi" w:eastAsia="Times New Roman" w:hAnsiTheme="majorHAnsi" w:cstheme="majorHAnsi"/>
          <w:color w:val="26282A"/>
          <w:kern w:val="0"/>
          <w:sz w:val="20"/>
          <w:szCs w:val="20"/>
          <w14:ligatures w14:val="none"/>
        </w:rPr>
        <w:t>League of Women Voters Upper Mississippi River Region</w:t>
      </w:r>
    </w:p>
    <w:p w14:paraId="3CA990C7" w14:textId="77777777" w:rsidR="002876EE" w:rsidRPr="002876EE" w:rsidRDefault="002876EE" w:rsidP="002876EE">
      <w:pPr>
        <w:shd w:val="clear" w:color="auto" w:fill="FFFFFF"/>
        <w:spacing w:after="0" w:line="240" w:lineRule="auto"/>
        <w:textAlignment w:val="baseline"/>
        <w:rPr>
          <w:rFonts w:asciiTheme="majorHAnsi" w:eastAsia="Times New Roman" w:hAnsiTheme="majorHAnsi" w:cstheme="majorHAnsi"/>
          <w:color w:val="26282A"/>
          <w:kern w:val="0"/>
          <w:sz w:val="20"/>
          <w:szCs w:val="20"/>
          <w14:ligatures w14:val="none"/>
        </w:rPr>
      </w:pPr>
      <w:hyperlink r:id="rId7" w:tgtFrame="_blank" w:history="1">
        <w:r w:rsidRPr="002876EE">
          <w:rPr>
            <w:rFonts w:asciiTheme="majorHAnsi" w:eastAsia="Times New Roman" w:hAnsiTheme="majorHAnsi" w:cstheme="majorHAnsi"/>
            <w:color w:val="196AD4"/>
            <w:kern w:val="0"/>
            <w:sz w:val="20"/>
            <w:szCs w:val="20"/>
            <w:u w:val="single"/>
            <w14:ligatures w14:val="none"/>
          </w:rPr>
          <w:t>http://www.lwvumrr.org</w:t>
        </w:r>
      </w:hyperlink>
      <w:r w:rsidRPr="002876EE">
        <w:rPr>
          <w:rFonts w:asciiTheme="majorHAnsi" w:eastAsia="Times New Roman" w:hAnsiTheme="majorHAnsi" w:cstheme="majorHAnsi"/>
          <w:color w:val="26282A"/>
          <w:kern w:val="0"/>
          <w:sz w:val="20"/>
          <w:szCs w:val="20"/>
          <w14:ligatures w14:val="none"/>
        </w:rPr>
        <w:t> </w:t>
      </w:r>
    </w:p>
    <w:p w14:paraId="2EB7378E" w14:textId="77777777" w:rsidR="002876EE" w:rsidRPr="00FA5BCE" w:rsidRDefault="002876EE">
      <w:pPr>
        <w:rPr>
          <w:rFonts w:asciiTheme="majorHAnsi" w:hAnsiTheme="majorHAnsi" w:cstheme="majorHAnsi"/>
          <w:sz w:val="20"/>
          <w:szCs w:val="20"/>
        </w:rPr>
      </w:pPr>
    </w:p>
    <w:sectPr w:rsidR="002876EE" w:rsidRPr="00FA5BCE" w:rsidSect="00FA5BC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6EE"/>
    <w:rsid w:val="000D2E13"/>
    <w:rsid w:val="001C1329"/>
    <w:rsid w:val="002876EE"/>
    <w:rsid w:val="002C31B7"/>
    <w:rsid w:val="005211B9"/>
    <w:rsid w:val="00851A7E"/>
    <w:rsid w:val="008C60D7"/>
    <w:rsid w:val="00900C18"/>
    <w:rsid w:val="00902FEF"/>
    <w:rsid w:val="00A52D26"/>
    <w:rsid w:val="00C04B94"/>
    <w:rsid w:val="00EB5A85"/>
    <w:rsid w:val="00EE5EEB"/>
    <w:rsid w:val="00FA5BCE"/>
    <w:rsid w:val="00FA5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A3F7"/>
  <w15:chartTrackingRefBased/>
  <w15:docId w15:val="{1A8A9E50-3857-41C3-89D0-913D5F63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E5E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7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2876EE"/>
    <w:rPr>
      <w:color w:val="0000FF"/>
      <w:u w:val="single"/>
    </w:rPr>
  </w:style>
  <w:style w:type="character" w:styleId="UnresolvedMention">
    <w:name w:val="Unresolved Mention"/>
    <w:basedOn w:val="DefaultParagraphFont"/>
    <w:uiPriority w:val="99"/>
    <w:semiHidden/>
    <w:unhideWhenUsed/>
    <w:rsid w:val="002876EE"/>
    <w:rPr>
      <w:color w:val="605E5C"/>
      <w:shd w:val="clear" w:color="auto" w:fill="E1DFDD"/>
    </w:rPr>
  </w:style>
  <w:style w:type="character" w:customStyle="1" w:styleId="Heading2Char">
    <w:name w:val="Heading 2 Char"/>
    <w:basedOn w:val="DefaultParagraphFont"/>
    <w:link w:val="Heading2"/>
    <w:uiPriority w:val="9"/>
    <w:rsid w:val="00EE5EEB"/>
    <w:rPr>
      <w:rFonts w:ascii="Times New Roman" w:eastAsia="Times New Roman" w:hAnsi="Times New Roman" w:cs="Times New Roman"/>
      <w:b/>
      <w:bCs/>
      <w:kern w:val="0"/>
      <w:sz w:val="36"/>
      <w:szCs w:val="3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372614">
      <w:bodyDiv w:val="1"/>
      <w:marLeft w:val="0"/>
      <w:marRight w:val="0"/>
      <w:marTop w:val="0"/>
      <w:marBottom w:val="0"/>
      <w:divBdr>
        <w:top w:val="none" w:sz="0" w:space="0" w:color="auto"/>
        <w:left w:val="none" w:sz="0" w:space="0" w:color="auto"/>
        <w:bottom w:val="none" w:sz="0" w:space="0" w:color="auto"/>
        <w:right w:val="none" w:sz="0" w:space="0" w:color="auto"/>
      </w:divBdr>
      <w:divsChild>
        <w:div w:id="1165975885">
          <w:marLeft w:val="0"/>
          <w:marRight w:val="0"/>
          <w:marTop w:val="0"/>
          <w:marBottom w:val="0"/>
          <w:divBdr>
            <w:top w:val="none" w:sz="0" w:space="0" w:color="auto"/>
            <w:left w:val="none" w:sz="0" w:space="0" w:color="auto"/>
            <w:bottom w:val="none" w:sz="0" w:space="0" w:color="auto"/>
            <w:right w:val="none" w:sz="0" w:space="0" w:color="auto"/>
          </w:divBdr>
        </w:div>
        <w:div w:id="1551109720">
          <w:marLeft w:val="0"/>
          <w:marRight w:val="0"/>
          <w:marTop w:val="0"/>
          <w:marBottom w:val="0"/>
          <w:divBdr>
            <w:top w:val="none" w:sz="0" w:space="0" w:color="auto"/>
            <w:left w:val="none" w:sz="0" w:space="0" w:color="auto"/>
            <w:bottom w:val="none" w:sz="0" w:space="0" w:color="auto"/>
            <w:right w:val="none" w:sz="0" w:space="0" w:color="auto"/>
          </w:divBdr>
        </w:div>
      </w:divsChild>
    </w:div>
    <w:div w:id="1632323831">
      <w:bodyDiv w:val="1"/>
      <w:marLeft w:val="0"/>
      <w:marRight w:val="0"/>
      <w:marTop w:val="0"/>
      <w:marBottom w:val="0"/>
      <w:divBdr>
        <w:top w:val="none" w:sz="0" w:space="0" w:color="auto"/>
        <w:left w:val="none" w:sz="0" w:space="0" w:color="auto"/>
        <w:bottom w:val="none" w:sz="0" w:space="0" w:color="auto"/>
        <w:right w:val="none" w:sz="0" w:space="0" w:color="auto"/>
      </w:divBdr>
      <w:divsChild>
        <w:div w:id="189219664">
          <w:marLeft w:val="0"/>
          <w:marRight w:val="0"/>
          <w:marTop w:val="0"/>
          <w:marBottom w:val="0"/>
          <w:divBdr>
            <w:top w:val="none" w:sz="0" w:space="0" w:color="auto"/>
            <w:left w:val="none" w:sz="0" w:space="0" w:color="auto"/>
            <w:bottom w:val="none" w:sz="0" w:space="0" w:color="auto"/>
            <w:right w:val="none" w:sz="0" w:space="0" w:color="auto"/>
          </w:divBdr>
        </w:div>
        <w:div w:id="1851137949">
          <w:marLeft w:val="0"/>
          <w:marRight w:val="0"/>
          <w:marTop w:val="0"/>
          <w:marBottom w:val="0"/>
          <w:divBdr>
            <w:top w:val="none" w:sz="0" w:space="0" w:color="auto"/>
            <w:left w:val="none" w:sz="0" w:space="0" w:color="auto"/>
            <w:bottom w:val="none" w:sz="0" w:space="0" w:color="auto"/>
            <w:right w:val="none" w:sz="0" w:space="0" w:color="auto"/>
          </w:divBdr>
        </w:div>
        <w:div w:id="1783962544">
          <w:marLeft w:val="0"/>
          <w:marRight w:val="0"/>
          <w:marTop w:val="0"/>
          <w:marBottom w:val="0"/>
          <w:divBdr>
            <w:top w:val="none" w:sz="0" w:space="0" w:color="auto"/>
            <w:left w:val="none" w:sz="0" w:space="0" w:color="auto"/>
            <w:bottom w:val="none" w:sz="0" w:space="0" w:color="auto"/>
            <w:right w:val="none" w:sz="0" w:space="0" w:color="auto"/>
          </w:divBdr>
        </w:div>
        <w:div w:id="1333067837">
          <w:marLeft w:val="0"/>
          <w:marRight w:val="0"/>
          <w:marTop w:val="0"/>
          <w:marBottom w:val="0"/>
          <w:divBdr>
            <w:top w:val="none" w:sz="0" w:space="0" w:color="auto"/>
            <w:left w:val="none" w:sz="0" w:space="0" w:color="auto"/>
            <w:bottom w:val="none" w:sz="0" w:space="0" w:color="auto"/>
            <w:right w:val="none" w:sz="0" w:space="0" w:color="auto"/>
          </w:divBdr>
        </w:div>
        <w:div w:id="799229228">
          <w:marLeft w:val="0"/>
          <w:marRight w:val="0"/>
          <w:marTop w:val="0"/>
          <w:marBottom w:val="0"/>
          <w:divBdr>
            <w:top w:val="none" w:sz="0" w:space="0" w:color="auto"/>
            <w:left w:val="none" w:sz="0" w:space="0" w:color="auto"/>
            <w:bottom w:val="none" w:sz="0" w:space="0" w:color="auto"/>
            <w:right w:val="none" w:sz="0" w:space="0" w:color="auto"/>
          </w:divBdr>
        </w:div>
        <w:div w:id="1315646892">
          <w:marLeft w:val="0"/>
          <w:marRight w:val="0"/>
          <w:marTop w:val="0"/>
          <w:marBottom w:val="0"/>
          <w:divBdr>
            <w:top w:val="none" w:sz="0" w:space="0" w:color="auto"/>
            <w:left w:val="none" w:sz="0" w:space="0" w:color="auto"/>
            <w:bottom w:val="none" w:sz="0" w:space="0" w:color="auto"/>
            <w:right w:val="none" w:sz="0" w:space="0" w:color="auto"/>
          </w:divBdr>
        </w:div>
        <w:div w:id="1590042639">
          <w:marLeft w:val="0"/>
          <w:marRight w:val="0"/>
          <w:marTop w:val="0"/>
          <w:marBottom w:val="0"/>
          <w:divBdr>
            <w:top w:val="none" w:sz="0" w:space="0" w:color="auto"/>
            <w:left w:val="none" w:sz="0" w:space="0" w:color="auto"/>
            <w:bottom w:val="none" w:sz="0" w:space="0" w:color="auto"/>
            <w:right w:val="none" w:sz="0" w:space="0" w:color="auto"/>
          </w:divBdr>
          <w:divsChild>
            <w:div w:id="622002866">
              <w:marLeft w:val="0"/>
              <w:marRight w:val="0"/>
              <w:marTop w:val="0"/>
              <w:marBottom w:val="0"/>
              <w:divBdr>
                <w:top w:val="none" w:sz="0" w:space="0" w:color="auto"/>
                <w:left w:val="none" w:sz="0" w:space="0" w:color="auto"/>
                <w:bottom w:val="none" w:sz="0" w:space="0" w:color="auto"/>
                <w:right w:val="none" w:sz="0" w:space="0" w:color="auto"/>
              </w:divBdr>
              <w:divsChild>
                <w:div w:id="471556597">
                  <w:marLeft w:val="0"/>
                  <w:marRight w:val="0"/>
                  <w:marTop w:val="0"/>
                  <w:marBottom w:val="0"/>
                  <w:divBdr>
                    <w:top w:val="none" w:sz="0" w:space="0" w:color="auto"/>
                    <w:left w:val="none" w:sz="0" w:space="0" w:color="auto"/>
                    <w:bottom w:val="none" w:sz="0" w:space="0" w:color="auto"/>
                    <w:right w:val="none" w:sz="0" w:space="0" w:color="auto"/>
                  </w:divBdr>
                  <w:divsChild>
                    <w:div w:id="2057852147">
                      <w:marLeft w:val="0"/>
                      <w:marRight w:val="0"/>
                      <w:marTop w:val="0"/>
                      <w:marBottom w:val="0"/>
                      <w:divBdr>
                        <w:top w:val="none" w:sz="0" w:space="0" w:color="auto"/>
                        <w:left w:val="none" w:sz="0" w:space="0" w:color="auto"/>
                        <w:bottom w:val="none" w:sz="0" w:space="0" w:color="auto"/>
                        <w:right w:val="none" w:sz="0" w:space="0" w:color="auto"/>
                      </w:divBdr>
                      <w:divsChild>
                        <w:div w:id="1724791361">
                          <w:marLeft w:val="0"/>
                          <w:marRight w:val="0"/>
                          <w:marTop w:val="0"/>
                          <w:marBottom w:val="0"/>
                          <w:divBdr>
                            <w:top w:val="none" w:sz="0" w:space="0" w:color="auto"/>
                            <w:left w:val="none" w:sz="0" w:space="0" w:color="auto"/>
                            <w:bottom w:val="none" w:sz="0" w:space="0" w:color="auto"/>
                            <w:right w:val="none" w:sz="0" w:space="0" w:color="auto"/>
                          </w:divBdr>
                          <w:divsChild>
                            <w:div w:id="2020084905">
                              <w:marLeft w:val="0"/>
                              <w:marRight w:val="0"/>
                              <w:marTop w:val="0"/>
                              <w:marBottom w:val="0"/>
                              <w:divBdr>
                                <w:top w:val="none" w:sz="0" w:space="0" w:color="auto"/>
                                <w:left w:val="none" w:sz="0" w:space="0" w:color="auto"/>
                                <w:bottom w:val="none" w:sz="0" w:space="0" w:color="auto"/>
                                <w:right w:val="none" w:sz="0" w:space="0" w:color="auto"/>
                              </w:divBdr>
                              <w:divsChild>
                                <w:div w:id="1200170029">
                                  <w:marLeft w:val="0"/>
                                  <w:marRight w:val="0"/>
                                  <w:marTop w:val="0"/>
                                  <w:marBottom w:val="0"/>
                                  <w:divBdr>
                                    <w:top w:val="none" w:sz="0" w:space="0" w:color="auto"/>
                                    <w:left w:val="none" w:sz="0" w:space="0" w:color="auto"/>
                                    <w:bottom w:val="none" w:sz="0" w:space="0" w:color="auto"/>
                                    <w:right w:val="none" w:sz="0" w:space="0" w:color="auto"/>
                                  </w:divBdr>
                                </w:div>
                                <w:div w:id="1548953689">
                                  <w:marLeft w:val="0"/>
                                  <w:marRight w:val="0"/>
                                  <w:marTop w:val="0"/>
                                  <w:marBottom w:val="0"/>
                                  <w:divBdr>
                                    <w:top w:val="none" w:sz="0" w:space="0" w:color="auto"/>
                                    <w:left w:val="none" w:sz="0" w:space="0" w:color="auto"/>
                                    <w:bottom w:val="none" w:sz="0" w:space="0" w:color="auto"/>
                                    <w:right w:val="none" w:sz="0" w:space="0" w:color="auto"/>
                                  </w:divBdr>
                                </w:div>
                                <w:div w:id="2021814927">
                                  <w:marLeft w:val="0"/>
                                  <w:marRight w:val="0"/>
                                  <w:marTop w:val="0"/>
                                  <w:marBottom w:val="0"/>
                                  <w:divBdr>
                                    <w:top w:val="none" w:sz="0" w:space="0" w:color="auto"/>
                                    <w:left w:val="none" w:sz="0" w:space="0" w:color="auto"/>
                                    <w:bottom w:val="none" w:sz="0" w:space="0" w:color="auto"/>
                                    <w:right w:val="none" w:sz="0" w:space="0" w:color="auto"/>
                                  </w:divBdr>
                                </w:div>
                                <w:div w:id="2034724761">
                                  <w:marLeft w:val="0"/>
                                  <w:marRight w:val="0"/>
                                  <w:marTop w:val="0"/>
                                  <w:marBottom w:val="0"/>
                                  <w:divBdr>
                                    <w:top w:val="none" w:sz="0" w:space="0" w:color="auto"/>
                                    <w:left w:val="none" w:sz="0" w:space="0" w:color="auto"/>
                                    <w:bottom w:val="none" w:sz="0" w:space="0" w:color="auto"/>
                                    <w:right w:val="none" w:sz="0" w:space="0" w:color="auto"/>
                                  </w:divBdr>
                                </w:div>
                              </w:divsChild>
                            </w:div>
                            <w:div w:id="850022913">
                              <w:marLeft w:val="0"/>
                              <w:marRight w:val="0"/>
                              <w:marTop w:val="0"/>
                              <w:marBottom w:val="0"/>
                              <w:divBdr>
                                <w:top w:val="none" w:sz="0" w:space="0" w:color="auto"/>
                                <w:left w:val="none" w:sz="0" w:space="0" w:color="auto"/>
                                <w:bottom w:val="none" w:sz="0" w:space="0" w:color="auto"/>
                                <w:right w:val="none" w:sz="0" w:space="0" w:color="auto"/>
                              </w:divBdr>
                            </w:div>
                            <w:div w:id="261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918229">
      <w:bodyDiv w:val="1"/>
      <w:marLeft w:val="0"/>
      <w:marRight w:val="0"/>
      <w:marTop w:val="0"/>
      <w:marBottom w:val="0"/>
      <w:divBdr>
        <w:top w:val="none" w:sz="0" w:space="0" w:color="auto"/>
        <w:left w:val="none" w:sz="0" w:space="0" w:color="auto"/>
        <w:bottom w:val="none" w:sz="0" w:space="0" w:color="auto"/>
        <w:right w:val="none" w:sz="0" w:space="0" w:color="auto"/>
      </w:divBdr>
      <w:divsChild>
        <w:div w:id="1854146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wvumr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KNVQMarT-5c?si=2gNHw2qqG9aaGEqf" TargetMode="External"/><Relationship Id="rId5" Type="http://schemas.openxmlformats.org/officeDocument/2006/relationships/hyperlink" Target="Confronting%20our%20Agricultural%20Nonpoint%20Source%20Control%20Policy%20Problem%20-%20Stephenson%20-%202022%20-%20JAWRA%20Journal%20of%20the%20American%20Water%20Resources%20Association%20-%20Wiley%20Online%20Library" TargetMode="External"/><Relationship Id="rId4" Type="http://schemas.openxmlformats.org/officeDocument/2006/relationships/hyperlink" Target="https://www.epa.gov/ms-htf/task-force-member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797</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Sabel</dc:creator>
  <cp:keywords/>
  <dc:description/>
  <cp:lastModifiedBy>Gretchen Sabel</cp:lastModifiedBy>
  <cp:revision>1</cp:revision>
  <dcterms:created xsi:type="dcterms:W3CDTF">2023-12-02T13:41:00Z</dcterms:created>
  <dcterms:modified xsi:type="dcterms:W3CDTF">2023-12-03T03:09:00Z</dcterms:modified>
</cp:coreProperties>
</file>